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92" w:rsidRPr="00EA63CD" w:rsidRDefault="00EA63CD" w:rsidP="00EA63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</w:rPr>
      </w:pPr>
      <w:r w:rsidRPr="00EA63CD">
        <w:rPr>
          <w:rFonts w:ascii="Calibri" w:eastAsia="Calibri" w:hAnsi="Calibri" w:cs="Calibri"/>
          <w:b/>
        </w:rPr>
        <w:t>A motorcycle dealer wants to be able to accurately forecast US demand for their best-selling motorcycle during the next month. Because the manufacturer is in Asia, it is difficult to send motorcycles back or reorder if the proper number is not ordered a month ahead. From sales records, the dealer has accumulated the following data for the past year.</w:t>
      </w:r>
    </w:p>
    <w:tbl>
      <w:tblPr>
        <w:tblStyle w:val="TableGrid"/>
        <w:tblW w:w="3158" w:type="dxa"/>
        <w:tblInd w:w="5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1845"/>
      </w:tblGrid>
      <w:tr w:rsidR="00EA63CD" w:rsidTr="00764011">
        <w:trPr>
          <w:trHeight w:val="28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12" w:space="0" w:color="656565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Month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12" w:space="0" w:color="656565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Motorcycle Sales </w:t>
            </w:r>
          </w:p>
        </w:tc>
      </w:tr>
      <w:tr w:rsidR="00EA63CD" w:rsidTr="00764011">
        <w:trPr>
          <w:trHeight w:val="290"/>
        </w:trPr>
        <w:tc>
          <w:tcPr>
            <w:tcW w:w="1313" w:type="dxa"/>
            <w:tcBorders>
              <w:top w:val="single" w:sz="12" w:space="0" w:color="656565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January </w:t>
            </w:r>
          </w:p>
        </w:tc>
        <w:tc>
          <w:tcPr>
            <w:tcW w:w="1846" w:type="dxa"/>
            <w:tcBorders>
              <w:top w:val="single" w:sz="12" w:space="0" w:color="656565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9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February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7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March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10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April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8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May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7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June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12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July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10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August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11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September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12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October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10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November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14 </w:t>
            </w:r>
          </w:p>
        </w:tc>
      </w:tr>
      <w:tr w:rsidR="00EA63CD" w:rsidTr="00764011">
        <w:trPr>
          <w:trHeight w:val="281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December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16 </w:t>
            </w:r>
          </w:p>
        </w:tc>
      </w:tr>
    </w:tbl>
    <w:p w:rsidR="00EA63CD" w:rsidRDefault="00EA63CD"/>
    <w:p w:rsidR="00EA63CD" w:rsidRDefault="00EA63CD" w:rsidP="00EA63CD">
      <w:pPr>
        <w:numPr>
          <w:ilvl w:val="0"/>
          <w:numId w:val="1"/>
        </w:numPr>
        <w:spacing w:line="258" w:lineRule="auto"/>
        <w:ind w:hanging="221"/>
      </w:pPr>
      <w:r>
        <w:rPr>
          <w:rFonts w:ascii="Calibri" w:eastAsia="Calibri" w:hAnsi="Calibri" w:cs="Calibri"/>
        </w:rPr>
        <w:t xml:space="preserve">Compute a three-month moving average forecast of demand for April through January (of the next year). </w:t>
      </w:r>
    </w:p>
    <w:p w:rsidR="00EA63CD" w:rsidRDefault="00EA63CD" w:rsidP="00EA63CD">
      <w:pPr>
        <w:numPr>
          <w:ilvl w:val="0"/>
          <w:numId w:val="1"/>
        </w:numPr>
        <w:spacing w:line="258" w:lineRule="auto"/>
        <w:ind w:hanging="221"/>
      </w:pPr>
      <w:r>
        <w:rPr>
          <w:rFonts w:ascii="Calibri" w:eastAsia="Calibri" w:hAnsi="Calibri" w:cs="Calibri"/>
        </w:rPr>
        <w:t xml:space="preserve">Compute a five-month moving average forecast for June through January. </w:t>
      </w:r>
    </w:p>
    <w:p w:rsidR="00EA63CD" w:rsidRDefault="00EA63CD" w:rsidP="00EA63CD">
      <w:pPr>
        <w:numPr>
          <w:ilvl w:val="0"/>
          <w:numId w:val="1"/>
        </w:numPr>
        <w:spacing w:line="258" w:lineRule="auto"/>
        <w:ind w:hanging="221"/>
      </w:pPr>
      <w:r>
        <w:rPr>
          <w:rFonts w:ascii="Calibri" w:eastAsia="Calibri" w:hAnsi="Calibri" w:cs="Calibri"/>
        </w:rPr>
        <w:t xml:space="preserve">Compare the two forecasts computed in parts a and b, using MAD. Which one should the dealer use for January of the next year? Justify your answer. </w:t>
      </w:r>
    </w:p>
    <w:p w:rsidR="00EA63CD" w:rsidRDefault="00EA63CD"/>
    <w:p w:rsidR="00EA63CD" w:rsidRDefault="00EA63CD" w:rsidP="00EA63CD">
      <w:pPr>
        <w:pStyle w:val="ListParagraph"/>
        <w:numPr>
          <w:ilvl w:val="0"/>
          <w:numId w:val="2"/>
        </w:numPr>
        <w:spacing w:after="3"/>
      </w:pPr>
      <w:r w:rsidRPr="00EA63CD">
        <w:rPr>
          <w:rFonts w:ascii="Calibri" w:eastAsia="Calibri" w:hAnsi="Calibri" w:cs="Calibri"/>
          <w:b/>
        </w:rPr>
        <w:t xml:space="preserve">The chairperson of the department of management at a university wants to forecast the number of students who will enroll in production and operations management (POM) next semester </w:t>
      </w:r>
      <w:proofErr w:type="gramStart"/>
      <w:r w:rsidRPr="00EA63CD">
        <w:rPr>
          <w:rFonts w:ascii="Calibri" w:eastAsia="Calibri" w:hAnsi="Calibri" w:cs="Calibri"/>
          <w:b/>
        </w:rPr>
        <w:t>in order to</w:t>
      </w:r>
      <w:proofErr w:type="gramEnd"/>
      <w:r w:rsidRPr="00EA63CD">
        <w:rPr>
          <w:rFonts w:ascii="Calibri" w:eastAsia="Calibri" w:hAnsi="Calibri" w:cs="Calibri"/>
          <w:b/>
        </w:rPr>
        <w:t xml:space="preserve"> determine how many sections to schedule. The chair has accumulated the following enrollment data for the past eight semesters. </w:t>
      </w:r>
    </w:p>
    <w:p w:rsidR="00EA63CD" w:rsidRDefault="00EA63CD"/>
    <w:tbl>
      <w:tblPr>
        <w:tblStyle w:val="TableGrid"/>
        <w:tblpPr w:vertAnchor="page" w:horzAnchor="page" w:tblpX="2041" w:tblpY="11686"/>
        <w:tblOverlap w:val="never"/>
        <w:tblW w:w="3986" w:type="dxa"/>
        <w:tblInd w:w="0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2673"/>
      </w:tblGrid>
      <w:tr w:rsidR="00EA63CD" w:rsidTr="00EA63CD">
        <w:trPr>
          <w:trHeight w:val="28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12" w:space="0" w:color="656565"/>
              <w:right w:val="single" w:sz="4" w:space="0" w:color="999999"/>
            </w:tcBorders>
          </w:tcPr>
          <w:p w:rsidR="00EA63CD" w:rsidRDefault="00EA63CD" w:rsidP="00EA63CD">
            <w:pPr>
              <w:rPr>
                <w:rFonts w:ascii="Calibri" w:eastAsia="Calibri" w:hAnsi="Calibri" w:cs="Calibri"/>
                <w:b/>
              </w:rPr>
            </w:pPr>
          </w:p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t xml:space="preserve">Semester </w:t>
            </w:r>
          </w:p>
        </w:tc>
        <w:tc>
          <w:tcPr>
            <w:tcW w:w="2673" w:type="dxa"/>
            <w:tcBorders>
              <w:top w:val="single" w:sz="4" w:space="0" w:color="999999"/>
              <w:left w:val="single" w:sz="4" w:space="0" w:color="999999"/>
              <w:bottom w:val="single" w:sz="12" w:space="0" w:color="656565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t xml:space="preserve">Students Enrolled in POM </w:t>
            </w:r>
          </w:p>
        </w:tc>
      </w:tr>
      <w:tr w:rsidR="00EA63CD" w:rsidTr="00EA63CD">
        <w:trPr>
          <w:trHeight w:val="288"/>
        </w:trPr>
        <w:tc>
          <w:tcPr>
            <w:tcW w:w="1313" w:type="dxa"/>
            <w:tcBorders>
              <w:top w:val="single" w:sz="12" w:space="0" w:color="656565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2673" w:type="dxa"/>
            <w:tcBorders>
              <w:top w:val="single" w:sz="12" w:space="0" w:color="656565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</w:rPr>
              <w:t xml:space="preserve">400 </w:t>
            </w:r>
          </w:p>
        </w:tc>
      </w:tr>
      <w:tr w:rsidR="00EA63CD" w:rsidTr="00EA63CD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2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</w:rPr>
              <w:t xml:space="preserve">450 </w:t>
            </w:r>
          </w:p>
        </w:tc>
      </w:tr>
      <w:tr w:rsidR="00EA63CD" w:rsidTr="00EA63CD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t xml:space="preserve">3 </w:t>
            </w:r>
          </w:p>
        </w:tc>
        <w:tc>
          <w:tcPr>
            <w:tcW w:w="2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</w:rPr>
              <w:t xml:space="preserve">350 </w:t>
            </w:r>
          </w:p>
        </w:tc>
      </w:tr>
      <w:tr w:rsidR="00EA63CD" w:rsidTr="00EA63CD">
        <w:trPr>
          <w:trHeight w:val="281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t xml:space="preserve">4 </w:t>
            </w:r>
          </w:p>
        </w:tc>
        <w:tc>
          <w:tcPr>
            <w:tcW w:w="2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</w:rPr>
              <w:t xml:space="preserve">420 </w:t>
            </w:r>
          </w:p>
        </w:tc>
      </w:tr>
      <w:tr w:rsidR="00EA63CD" w:rsidTr="00EA63CD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t xml:space="preserve">5 </w:t>
            </w:r>
          </w:p>
        </w:tc>
        <w:tc>
          <w:tcPr>
            <w:tcW w:w="2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</w:rPr>
              <w:t xml:space="preserve">500 </w:t>
            </w:r>
          </w:p>
        </w:tc>
      </w:tr>
      <w:tr w:rsidR="00EA63CD" w:rsidTr="00EA63CD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t xml:space="preserve">6 </w:t>
            </w:r>
          </w:p>
        </w:tc>
        <w:tc>
          <w:tcPr>
            <w:tcW w:w="2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</w:rPr>
              <w:t xml:space="preserve">575 </w:t>
            </w:r>
          </w:p>
        </w:tc>
      </w:tr>
      <w:tr w:rsidR="00EA63CD" w:rsidTr="00EA63CD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lastRenderedPageBreak/>
              <w:t xml:space="preserve">7 </w:t>
            </w:r>
          </w:p>
        </w:tc>
        <w:tc>
          <w:tcPr>
            <w:tcW w:w="2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</w:rPr>
              <w:t xml:space="preserve">490 </w:t>
            </w:r>
          </w:p>
        </w:tc>
      </w:tr>
      <w:tr w:rsidR="00EA63CD" w:rsidTr="00EA63CD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  <w:b/>
              </w:rPr>
              <w:t xml:space="preserve">8 </w:t>
            </w:r>
          </w:p>
        </w:tc>
        <w:tc>
          <w:tcPr>
            <w:tcW w:w="2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EA63CD">
            <w:r>
              <w:rPr>
                <w:rFonts w:ascii="Calibri" w:eastAsia="Calibri" w:hAnsi="Calibri" w:cs="Calibri"/>
              </w:rPr>
              <w:t xml:space="preserve">650 </w:t>
            </w:r>
          </w:p>
        </w:tc>
      </w:tr>
    </w:tbl>
    <w:p w:rsidR="00EA63CD" w:rsidRDefault="00EA63CD" w:rsidP="00EA63CD">
      <w:pPr>
        <w:spacing w:after="159"/>
        <w:ind w:left="-5" w:hanging="10"/>
      </w:pPr>
    </w:p>
    <w:p w:rsidR="00EA63CD" w:rsidRDefault="00EA63CD"/>
    <w:p w:rsidR="00EA63CD" w:rsidRDefault="00EA63CD"/>
    <w:p w:rsidR="00EA63CD" w:rsidRDefault="00EA63CD"/>
    <w:p w:rsidR="00EA63CD" w:rsidRDefault="00EA63CD" w:rsidP="00EA63CD">
      <w:pPr>
        <w:numPr>
          <w:ilvl w:val="0"/>
          <w:numId w:val="3"/>
        </w:numPr>
        <w:spacing w:line="258" w:lineRule="auto"/>
        <w:ind w:hanging="221"/>
      </w:pPr>
      <w:r>
        <w:rPr>
          <w:rFonts w:ascii="Calibri" w:eastAsia="Calibri" w:hAnsi="Calibri" w:cs="Calibri"/>
        </w:rPr>
        <w:t xml:space="preserve">Compute a three-semester moving average forecast for semesters 4 through 9. </w:t>
      </w:r>
    </w:p>
    <w:p w:rsidR="00EA63CD" w:rsidRDefault="00EA63CD" w:rsidP="00EA63CD">
      <w:pPr>
        <w:numPr>
          <w:ilvl w:val="0"/>
          <w:numId w:val="3"/>
        </w:numPr>
        <w:spacing w:line="258" w:lineRule="auto"/>
        <w:ind w:hanging="221"/>
      </w:pPr>
      <w:r>
        <w:rPr>
          <w:rFonts w:ascii="Calibri" w:eastAsia="Calibri" w:hAnsi="Calibri" w:cs="Calibri"/>
        </w:rPr>
        <w:t xml:space="preserve">Compute the exponentially smoothed forecast (α = .20) for the enrollment data. </w:t>
      </w:r>
    </w:p>
    <w:p w:rsidR="00EA63CD" w:rsidRPr="00EA63CD" w:rsidRDefault="00EA63CD" w:rsidP="00EA63CD">
      <w:pPr>
        <w:numPr>
          <w:ilvl w:val="0"/>
          <w:numId w:val="3"/>
        </w:numPr>
        <w:spacing w:line="258" w:lineRule="auto"/>
        <w:ind w:hanging="221"/>
      </w:pPr>
      <w:r>
        <w:rPr>
          <w:rFonts w:ascii="Calibri" w:eastAsia="Calibri" w:hAnsi="Calibri" w:cs="Calibri"/>
        </w:rPr>
        <w:t xml:space="preserve">Compare the two forecasts using MAD and indicate the more accurate. </w:t>
      </w:r>
    </w:p>
    <w:p w:rsidR="00EA63CD" w:rsidRDefault="00EA63CD" w:rsidP="00EA63CD">
      <w:pPr>
        <w:spacing w:line="258" w:lineRule="auto"/>
        <w:rPr>
          <w:rFonts w:ascii="Calibri" w:eastAsia="Calibri" w:hAnsi="Calibri" w:cs="Calibri"/>
        </w:rPr>
      </w:pPr>
    </w:p>
    <w:p w:rsidR="00EA63CD" w:rsidRPr="00EA63CD" w:rsidRDefault="00EA63CD" w:rsidP="00EA63CD">
      <w:pPr>
        <w:pStyle w:val="ListParagraph"/>
        <w:numPr>
          <w:ilvl w:val="0"/>
          <w:numId w:val="2"/>
        </w:numPr>
        <w:spacing w:line="258" w:lineRule="auto"/>
      </w:pPr>
      <w:r w:rsidRPr="00EA63CD">
        <w:rPr>
          <w:rFonts w:ascii="Calibri" w:eastAsia="Calibri" w:hAnsi="Calibri" w:cs="Calibri"/>
          <w:b/>
        </w:rPr>
        <w:t>A mutual fund of growth stocks has had the following average monthly price for the past 10 months.</w:t>
      </w:r>
    </w:p>
    <w:p w:rsidR="00EA63CD" w:rsidRDefault="00EA63CD" w:rsidP="00EA63CD">
      <w:pPr>
        <w:pStyle w:val="ListParagraph"/>
        <w:spacing w:line="258" w:lineRule="auto"/>
        <w:rPr>
          <w:rFonts w:ascii="Calibri" w:eastAsia="Calibri" w:hAnsi="Calibri" w:cs="Calibri"/>
          <w:b/>
        </w:rPr>
      </w:pPr>
    </w:p>
    <w:tbl>
      <w:tblPr>
        <w:tblStyle w:val="TableGrid"/>
        <w:tblW w:w="3986" w:type="dxa"/>
        <w:tblInd w:w="5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2673"/>
      </w:tblGrid>
      <w:tr w:rsidR="00EA63CD" w:rsidTr="00764011">
        <w:trPr>
          <w:trHeight w:val="28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12" w:space="0" w:color="656565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Month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12" w:space="0" w:color="656565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Fund Price </w:t>
            </w:r>
          </w:p>
        </w:tc>
      </w:tr>
      <w:tr w:rsidR="00EA63CD" w:rsidTr="00764011">
        <w:trPr>
          <w:trHeight w:val="290"/>
        </w:trPr>
        <w:tc>
          <w:tcPr>
            <w:tcW w:w="1313" w:type="dxa"/>
            <w:tcBorders>
              <w:top w:val="single" w:sz="12" w:space="0" w:color="656565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2674" w:type="dxa"/>
            <w:tcBorders>
              <w:top w:val="single" w:sz="12" w:space="0" w:color="656565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62.7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63.9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3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68.0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4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66.4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5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67.2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6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65.8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7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68.2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8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69.3 </w:t>
            </w:r>
          </w:p>
        </w:tc>
      </w:tr>
      <w:tr w:rsidR="00EA63CD" w:rsidTr="00764011">
        <w:trPr>
          <w:trHeight w:val="278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9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67.2 </w:t>
            </w:r>
          </w:p>
        </w:tc>
      </w:tr>
      <w:tr w:rsidR="00EA63CD" w:rsidTr="00764011">
        <w:trPr>
          <w:trHeight w:val="281"/>
        </w:trPr>
        <w:tc>
          <w:tcPr>
            <w:tcW w:w="13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  <w:b/>
              </w:rPr>
              <w:t xml:space="preserve">10 </w:t>
            </w:r>
          </w:p>
        </w:tc>
        <w:tc>
          <w:tcPr>
            <w:tcW w:w="26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3CD" w:rsidRDefault="00EA63CD" w:rsidP="00764011">
            <w:r>
              <w:rPr>
                <w:rFonts w:ascii="Calibri" w:eastAsia="Calibri" w:hAnsi="Calibri" w:cs="Calibri"/>
              </w:rPr>
              <w:t xml:space="preserve">70.1 </w:t>
            </w:r>
          </w:p>
        </w:tc>
      </w:tr>
    </w:tbl>
    <w:p w:rsidR="00EA63CD" w:rsidRDefault="00EA63CD" w:rsidP="00EA63CD">
      <w:pPr>
        <w:spacing w:line="258" w:lineRule="auto"/>
      </w:pPr>
    </w:p>
    <w:p w:rsidR="00EA63CD" w:rsidRDefault="00EA63CD" w:rsidP="00EA63CD">
      <w:pPr>
        <w:numPr>
          <w:ilvl w:val="0"/>
          <w:numId w:val="4"/>
        </w:numPr>
        <w:spacing w:line="258" w:lineRule="auto"/>
        <w:ind w:hanging="211"/>
      </w:pPr>
      <w:r>
        <w:rPr>
          <w:rFonts w:ascii="Calibri" w:eastAsia="Calibri" w:hAnsi="Calibri" w:cs="Calibri"/>
        </w:rPr>
        <w:t xml:space="preserve">Compute the exponentially smoothed forecast with α = .40. </w:t>
      </w:r>
    </w:p>
    <w:p w:rsidR="00EA63CD" w:rsidRDefault="00EA63CD" w:rsidP="00EA63CD">
      <w:pPr>
        <w:numPr>
          <w:ilvl w:val="0"/>
          <w:numId w:val="4"/>
        </w:numPr>
        <w:spacing w:line="258" w:lineRule="auto"/>
        <w:ind w:hanging="211"/>
      </w:pPr>
      <w:r>
        <w:rPr>
          <w:rFonts w:ascii="Calibri" w:eastAsia="Calibri" w:hAnsi="Calibri" w:cs="Calibri"/>
        </w:rPr>
        <w:t xml:space="preserve">Using linear trend analysis, develop a forecasting model for the fund price. What is the linear equation that best fits the data? </w:t>
      </w:r>
    </w:p>
    <w:p w:rsidR="00EA63CD" w:rsidRDefault="00EA63CD" w:rsidP="00EA63CD">
      <w:pPr>
        <w:spacing w:line="258" w:lineRule="auto"/>
      </w:pPr>
      <w:r>
        <w:rPr>
          <w:rFonts w:ascii="Calibri" w:eastAsia="Calibri" w:hAnsi="Calibri" w:cs="Calibri"/>
        </w:rPr>
        <w:t>Which of the methods analyzed here would you use? Explain your answer</w:t>
      </w:r>
      <w:bookmarkStart w:id="0" w:name="_GoBack"/>
      <w:bookmarkEnd w:id="0"/>
    </w:p>
    <w:p w:rsidR="00EA63CD" w:rsidRDefault="00EA63CD"/>
    <w:sectPr w:rsidR="00EA6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75C0D"/>
    <w:multiLevelType w:val="hybridMultilevel"/>
    <w:tmpl w:val="482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F6D56"/>
    <w:multiLevelType w:val="hybridMultilevel"/>
    <w:tmpl w:val="7640FA8A"/>
    <w:lvl w:ilvl="0" w:tplc="21CA9F34">
      <w:start w:val="1"/>
      <w:numFmt w:val="lowerLetter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F656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662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89A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479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E75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E26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5840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A72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4D3DAD"/>
    <w:multiLevelType w:val="hybridMultilevel"/>
    <w:tmpl w:val="89A06684"/>
    <w:lvl w:ilvl="0" w:tplc="5DC6C724">
      <w:start w:val="1"/>
      <w:numFmt w:val="lowerLetter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A274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C8BA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CAD5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4F3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6F1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C084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633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6ADE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0E45DF"/>
    <w:multiLevelType w:val="hybridMultilevel"/>
    <w:tmpl w:val="66042060"/>
    <w:lvl w:ilvl="0" w:tplc="795AE922">
      <w:start w:val="1"/>
      <w:numFmt w:val="lowerLetter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E18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EE7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072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FA4A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5AB6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4079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41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8A40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CD"/>
    <w:rsid w:val="00EA63CD"/>
    <w:rsid w:val="00F97A92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4B7E"/>
  <w15:chartTrackingRefBased/>
  <w15:docId w15:val="{8192A9B3-5ABE-4915-AE6D-6B1E086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A63C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A6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WATHAN</dc:creator>
  <cp:keywords/>
  <dc:description/>
  <cp:lastModifiedBy>DAN WATHAN</cp:lastModifiedBy>
  <cp:revision>1</cp:revision>
  <dcterms:created xsi:type="dcterms:W3CDTF">2017-08-23T21:55:00Z</dcterms:created>
  <dcterms:modified xsi:type="dcterms:W3CDTF">2017-08-23T22:01:00Z</dcterms:modified>
</cp:coreProperties>
</file>